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A7" w:rsidRPr="003C296D" w:rsidRDefault="00F8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1B3B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990AF21" wp14:editId="7E9B5562">
            <wp:extent cx="5732145" cy="8177574"/>
            <wp:effectExtent l="0" t="0" r="1905" b="0"/>
            <wp:docPr id="1" name="Рисунок 1" descr="C:\Users\user\Рабочий стол\титульник 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титульник 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7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A51" w:rsidRPr="003C296D" w:rsidRDefault="00F81B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</w:t>
      </w:r>
      <w:r w:rsidR="00CB38A7" w:rsidRPr="003C296D">
        <w:rPr>
          <w:b/>
          <w:bCs/>
          <w:color w:val="252525"/>
          <w:spacing w:val="-2"/>
          <w:sz w:val="48"/>
          <w:szCs w:val="48"/>
          <w:lang w:val="ru-RU"/>
        </w:rPr>
        <w:t>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98"/>
        <w:gridCol w:w="779"/>
      </w:tblGrid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 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План управленческой работы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7F0A51" w:rsidRPr="00AA4BEB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AA4BEB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29—...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—...</w:t>
            </w:r>
          </w:p>
        </w:tc>
      </w:tr>
    </w:tbl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81B3B" w:rsidRDefault="00F81B3B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Pr="00C035EE" w:rsidRDefault="00CB38A7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CB38A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B38A7">
        <w:rPr>
          <w:b/>
          <w:bCs/>
          <w:color w:val="252525"/>
          <w:spacing w:val="-2"/>
          <w:sz w:val="48"/>
          <w:szCs w:val="48"/>
          <w:lang w:val="ru-RU"/>
        </w:rPr>
        <w:t>задачи детского сада на</w:t>
      </w:r>
    </w:p>
    <w:p w:rsidR="007F0A51" w:rsidRPr="00CB38A7" w:rsidRDefault="00CB38A7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B38A7">
        <w:rPr>
          <w:b/>
          <w:bCs/>
          <w:color w:val="252525"/>
          <w:spacing w:val="-2"/>
          <w:sz w:val="48"/>
          <w:szCs w:val="48"/>
          <w:lang w:val="ru-RU"/>
        </w:rPr>
        <w:t>2023/24 учебный год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улучшить условия для реализации </w:t>
      </w:r>
      <w:proofErr w:type="spellStart"/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деятельности;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помещений для обучения воспитанников;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новые физкультурно-оздоровительные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духовно-нравственные мероприятия;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фундаментальных личностных компетенций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учащегося начальной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:rsidR="006F49AB" w:rsidRPr="00AA4BEB" w:rsidRDefault="006F49A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F0A51" w:rsidRPr="00BC3267" w:rsidRDefault="00CB38A7" w:rsidP="006F49AB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BC3267">
        <w:rPr>
          <w:b/>
          <w:bCs/>
          <w:color w:val="252525"/>
          <w:spacing w:val="-2"/>
          <w:sz w:val="36"/>
          <w:szCs w:val="36"/>
          <w:lang w:val="ru-RU"/>
        </w:rPr>
        <w:t xml:space="preserve">Блок </w:t>
      </w:r>
      <w:r w:rsidRPr="00BC3267">
        <w:rPr>
          <w:b/>
          <w:bCs/>
          <w:color w:val="252525"/>
          <w:spacing w:val="-2"/>
          <w:sz w:val="36"/>
          <w:szCs w:val="36"/>
        </w:rPr>
        <w:t>I</w:t>
      </w:r>
      <w:r w:rsidRPr="00BC3267">
        <w:rPr>
          <w:b/>
          <w:bCs/>
          <w:color w:val="252525"/>
          <w:spacing w:val="-2"/>
          <w:sz w:val="36"/>
          <w:szCs w:val="36"/>
          <w:lang w:val="ru-RU"/>
        </w:rPr>
        <w:t>. ВОСПИТАТЕЛЬНО-ОБРАЗОВАТЕЛЬНАЯ ДЕЯТЕЛЬНОСТЬ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C3267">
        <w:rPr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BC3267">
        <w:rPr>
          <w:b/>
          <w:bCs/>
          <w:color w:val="252525"/>
          <w:spacing w:val="-2"/>
          <w:sz w:val="28"/>
          <w:szCs w:val="28"/>
        </w:rPr>
        <w:t> </w:t>
      </w:r>
      <w:r w:rsidRPr="00BC3267">
        <w:rPr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2"/>
        <w:gridCol w:w="1403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 w:rsidT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9AB" w:rsidRDefault="006F49AB" w:rsidP="006F49A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49AB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 w:rsidT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9AB" w:rsidRDefault="006F49AB" w:rsidP="006F49A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0"/>
        <w:gridCol w:w="1112"/>
        <w:gridCol w:w="5075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 w:rsidRPr="00F81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Pr="00CB38A7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музыкальный руководитель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5"/>
        <w:gridCol w:w="1280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B38A7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5455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5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«ЮПИД+ЮИД- вместе за безопасные дороги»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5455F8" w:rsidRDefault="005455F8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«Родительский патруль» ЮПИД И ЮИД выбирают безопасность»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«Волшебное колесо-2024»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 w:rsidTr="00E22A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E0" w:rsidRPr="00E22AE0" w:rsidRDefault="00E22AE0" w:rsidP="00E22AE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Всероссийские</w:t>
            </w:r>
          </w:p>
        </w:tc>
      </w:tr>
      <w:tr w:rsidR="00E22AE0" w:rsidRPr="00E22AE0" w:rsidTr="00E22AE0"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AE0" w:rsidRPr="00E22AE0" w:rsidRDefault="00E22AE0" w:rsidP="00E22A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3267">
        <w:rPr>
          <w:b/>
          <w:bCs/>
          <w:color w:val="252525"/>
          <w:spacing w:val="-2"/>
          <w:sz w:val="28"/>
          <w:szCs w:val="28"/>
        </w:rPr>
        <w:lastRenderedPageBreak/>
        <w:t>1.2. Работа с семьями воспитанников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8"/>
        <w:gridCol w:w="2083"/>
        <w:gridCol w:w="2176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CB38A7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Pr="00CB38A7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Pr="00CB38A7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930"/>
        <w:gridCol w:w="2135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2B0B77" w:rsidRDefault="002B0B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7F0A51" w:rsidRPr="003C29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старшая группы: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Ребенку – дошкольнику ничего не интересно, кроме ТВ и планшета – что делать?»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 w:rsidRPr="003C29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Pr="00CB38A7" w:rsidRDefault="00565D60" w:rsidP="00565D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разновозрастная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«Особенности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</w:tr>
      <w:tr w:rsidR="00565D6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2B0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="002B0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старшая </w:t>
            </w:r>
            <w:r w:rsidR="002B0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разновозрастные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группы: «Организация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 w:rsidRPr="003C296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2B0B77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«Причины детской агрессивности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Tr="00AA4BEB">
        <w:trPr>
          <w:trHeight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Pr="002B0B77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200546" w:rsidRPr="002B0B77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Младшая, старшая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разновозрастные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RPr="003C296D" w:rsidTr="00AA4B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«Что такое мелкая моторика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RPr="003C296D" w:rsidTr="00AA4BE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Pr="00CB38A7" w:rsidRDefault="00200546" w:rsidP="00200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Воспитатели</w:t>
            </w:r>
          </w:p>
        </w:tc>
      </w:tr>
    </w:tbl>
    <w:p w:rsidR="007F0A51" w:rsidRPr="00BC3267" w:rsidRDefault="00CB38A7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BC3267">
        <w:rPr>
          <w:b/>
          <w:bCs/>
          <w:color w:val="252525"/>
          <w:spacing w:val="-2"/>
          <w:sz w:val="32"/>
          <w:szCs w:val="32"/>
        </w:rPr>
        <w:t>II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. АДМИНИСТРАТИВНАЯ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МЕТОДИЧЕСКАЯ ДЕЯТЕЛЬНОСТЬ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3267">
        <w:rPr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6"/>
        <w:gridCol w:w="1349"/>
        <w:gridCol w:w="1872"/>
      </w:tblGrid>
      <w:tr w:rsidR="007F0A5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C3267" w:rsidRDefault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методсопровождения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создания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C3267" w:rsidRDefault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2"/>
        <w:gridCol w:w="1414"/>
        <w:gridCol w:w="1911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билингвального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3"/>
        <w:gridCol w:w="1112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BC3267" w:rsidRDefault="0059466F" w:rsidP="005946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школы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BC3267" w:rsidRDefault="0059466F" w:rsidP="005946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3"/>
        <w:gridCol w:w="1112"/>
        <w:gridCol w:w="214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CB38A7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4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2.2. Нормотворчество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276"/>
        <w:gridCol w:w="1872"/>
      </w:tblGrid>
      <w:tr w:rsidR="007F0A51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и распорядительных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59466F" w:rsidRPr="0059466F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локальных и распорядительных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2.3. Работа с кадрами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268"/>
        <w:gridCol w:w="3119"/>
      </w:tblGrid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7F0A51" w:rsidTr="006F67E5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6F6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Клименко Л.А.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6F6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2025г</w:t>
            </w:r>
          </w:p>
        </w:tc>
      </w:tr>
      <w:tr w:rsidR="006F67E5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Pr="006F67E5" w:rsidRDefault="006F67E5" w:rsidP="006F6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Поленцова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Default="006F67E5" w:rsidP="006F6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Pr="006F67E5" w:rsidRDefault="006F67E5" w:rsidP="006F67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2025г</w:t>
            </w:r>
          </w:p>
        </w:tc>
      </w:tr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6F6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Завгородняя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6F67E5" w:rsidP="006F67E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6F6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2023г</w:t>
            </w:r>
          </w:p>
        </w:tc>
      </w:tr>
      <w:tr w:rsidR="006F67E5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Pr="006F67E5" w:rsidRDefault="006F67E5" w:rsidP="006F6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Хачатурян Е.А.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Default="006F67E5" w:rsidP="006F6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Pr="006F67E5" w:rsidRDefault="006F67E5" w:rsidP="006F6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2023г</w:t>
            </w:r>
          </w:p>
        </w:tc>
      </w:tr>
    </w:tbl>
    <w:p w:rsidR="007F0A51" w:rsidRPr="00597258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2.3.2. </w:t>
      </w:r>
      <w:r w:rsidR="00597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по самообразованию педагогов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5510"/>
        <w:gridCol w:w="1356"/>
        <w:gridCol w:w="1837"/>
      </w:tblGrid>
      <w:tr w:rsidR="00597258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597258" w:rsidRPr="00597258" w:rsidRDefault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основной деятельности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97258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DD3F91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2F" w:rsidRPr="00344D2F" w:rsidRDefault="00344D2F" w:rsidP="00344D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Участие в методической деятельности, распространение опыта работы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Внедрение современных образовательных технологий, форм и методов в образовательный процесс.</w:t>
            </w:r>
            <w:r w:rsidRPr="00344D2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Повышение качества </w:t>
            </w:r>
            <w:proofErr w:type="spellStart"/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образовательного процесса, активизация активности педагогов. Выступление на мероприятиях районного и муниципального уровня. Распространение опыта работы РМО. </w:t>
            </w:r>
          </w:p>
          <w:p w:rsidR="007F0A51" w:rsidRPr="00344D2F" w:rsidRDefault="007F0A5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344D2F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DD3F91" w:rsidRDefault="00DD3F91" w:rsidP="00DD3F9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>Повышение профессиональной компетентности. Участие в работе РМО, обмен опытом работы. Приобретение новых знаний.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DD3F91" w:rsidRDefault="00DD3F91" w:rsidP="00DD3F9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 xml:space="preserve">Участие в конкурсах профессионального мастерства на 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муниципальном, зональном уровнях</w:t>
            </w: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344D2F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spacing w:before="0" w:beforeAutospacing="0" w:after="160" w:afterAutospacing="0" w:line="259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Прохождение курсов профессиональной переподготовки. Приобретение систематических знаний в области педагогики и психологии, повышение квалификации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Оценка эффективности программы самообразования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Эффективность программы: - достижение положительной динамики качества </w:t>
            </w:r>
            <w:proofErr w:type="spellStart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ru-RU"/>
              </w:rPr>
              <w:t>-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образовательного процесса; - результативность использования современных образовательных технологий в </w:t>
            </w:r>
            <w:proofErr w:type="spellStart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-образовательном процессе ДОУ -эффективность модели методического сопровождения педагогов ДОУ</w:t>
            </w:r>
          </w:p>
          <w:p w:rsidR="00DD3F91" w:rsidRPr="00DD3F91" w:rsidRDefault="00DD3F91" w:rsidP="00DD3F9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344D2F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spacing w:before="0" w:beforeAutospacing="0" w:after="160" w:afterAutospacing="0" w:line="259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Подведение итогов самообразования. Оценка и  самооценка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2.</w:t>
      </w:r>
      <w:r w:rsidR="00236288">
        <w:rPr>
          <w:b/>
          <w:bCs/>
          <w:color w:val="252525"/>
          <w:spacing w:val="-2"/>
          <w:sz w:val="32"/>
          <w:szCs w:val="32"/>
          <w:lang w:val="ru-RU"/>
        </w:rPr>
        <w:t>4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. Контроль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оценка деятельности</w:t>
      </w:r>
    </w:p>
    <w:p w:rsidR="00173414" w:rsidRDefault="0017341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173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.1. </w:t>
      </w:r>
      <w:proofErr w:type="spellStart"/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1730"/>
        <w:gridCol w:w="1639"/>
        <w:gridCol w:w="1386"/>
        <w:gridCol w:w="180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 w:rsidRPr="006F6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30F2F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0"/>
        <w:gridCol w:w="1655"/>
        <w:gridCol w:w="1872"/>
      </w:tblGrid>
      <w:tr w:rsidR="007F0A51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30F2F" w:rsidRDefault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своевременного размещения информации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lastRenderedPageBreak/>
        <w:t>2.</w:t>
      </w:r>
      <w:r w:rsidR="00B30F2F">
        <w:rPr>
          <w:b/>
          <w:bCs/>
          <w:color w:val="252525"/>
          <w:spacing w:val="-2"/>
          <w:sz w:val="32"/>
          <w:szCs w:val="32"/>
          <w:lang w:val="ru-RU"/>
        </w:rPr>
        <w:t>5</w:t>
      </w:r>
      <w:r w:rsidRPr="00BC3267">
        <w:rPr>
          <w:b/>
          <w:bCs/>
          <w:color w:val="252525"/>
          <w:spacing w:val="-2"/>
          <w:sz w:val="32"/>
          <w:szCs w:val="32"/>
        </w:rPr>
        <w:t>. 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1"/>
        <w:gridCol w:w="1414"/>
        <w:gridCol w:w="201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работы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инфраструктуры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BC3267">
        <w:rPr>
          <w:b/>
          <w:bCs/>
          <w:color w:val="252525"/>
          <w:spacing w:val="-2"/>
          <w:sz w:val="32"/>
          <w:szCs w:val="32"/>
        </w:rPr>
        <w:t>III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. ХОЗЯЙСТВЕННАЯ ДЕЯТЕЛЬНОСТЬ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БЕЗОПАСНОСТЬ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3.1. Закупка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содержание материально-технической базы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559"/>
        <w:gridCol w:w="1984"/>
      </w:tblGrid>
      <w:tr w:rsidR="007F0A51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Pr="00B30F2F" w:rsidRDefault="008863D4" w:rsidP="00886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производственные собрания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Default="008863D4" w:rsidP="008863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Pr="00B30F2F" w:rsidRDefault="008863D4" w:rsidP="008863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CB38A7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Производственные совещания:                                     - требования ОТ и ТБ,  противопожарной безопасности, антитеррористической безопасности;   - соблюдение требований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Октябрь, январь,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аперль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июль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 по эстетическому оформлению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Обогащение предметно-развивающей среды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в МБДОУ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хозяйством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по благоустройству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Текущие ремонтные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3.2. Безопасность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8"/>
        <w:gridCol w:w="1865"/>
        <w:gridCol w:w="1974"/>
      </w:tblGrid>
      <w:tr w:rsidR="007F0A51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F0AA6" w:rsidRDefault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Ежедневное проведение проверки работоспособности кнопки тревожной сигнализации в ДОУ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пропускного и </w:t>
            </w:r>
            <w:proofErr w:type="spellStart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внутриобъектового</w:t>
            </w:r>
            <w:proofErr w:type="spellEnd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режимов и осуществление контроля за  функционированием </w:t>
            </w:r>
            <w:proofErr w:type="spellStart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ДОУ.Усиление</w:t>
            </w:r>
            <w:proofErr w:type="spellEnd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пропускного режима автотранспорта на территорию ДОУ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Инструктажей:  </w:t>
            </w:r>
          </w:p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обеспечению безопасности, антитеррористической защищенности сотрудников и детей в условиях повседневной деятельности;</w:t>
            </w:r>
          </w:p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действиям при обнаружении предмета, похожего на взрывное устройство;-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 и т.п.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F951DC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 внешней безопасности (наличие замков на подвальном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помещении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сарае, 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калитке)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F951DC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дворник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Постоянное содержание в порядке подвальных, подсобных помещений и запасных выходов из ДОУ. Проверка состояния ограждения,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46A38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Default="00646A38" w:rsidP="00646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своевременного прихода на работу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сотрудникам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за 10-15 минут 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Сторожа, дворник</w:t>
            </w:r>
          </w:p>
        </w:tc>
      </w:tr>
      <w:tr w:rsidR="00646A38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 исправностью работы систем АПС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985"/>
        <w:gridCol w:w="1872"/>
      </w:tblGrid>
      <w:tr w:rsidR="007F0A51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F0A51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и утверждение локальных документов о мерах пожарной безопасности: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-приказа о назначении ответственного за пожарную безопасность в ДОУ;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приказа об установлении противопожарного режима в ДОУ;</w:t>
            </w:r>
          </w:p>
          <w:p w:rsidR="007F0A51" w:rsidRPr="00CB38A7" w:rsidRDefault="00147F83" w:rsidP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F0A51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Изучение нормативных документов по пожарной безопасности федерального и регионального уровней.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инструктажей по пожарной безопасности с сотрудниками ДОУ.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Обеспечение соблюдения правил пожарной безопасности при проведении детских утренников и других массовых мероприятий 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Регулярно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</w:t>
            </w:r>
            <w:proofErr w:type="spellStart"/>
            <w:proofErr w:type="gram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</w:t>
            </w:r>
            <w:proofErr w:type="spell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вии</w:t>
            </w:r>
            <w:proofErr w:type="spellEnd"/>
            <w:proofErr w:type="gram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 планом проведения)</w:t>
            </w:r>
          </w:p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Заведующий, воспитатели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Проверка наличия и исправности средств пожаро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тушения (огнетушителей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«Континент»</w:t>
            </w:r>
          </w:p>
        </w:tc>
      </w:tr>
      <w:tr w:rsidR="00F453B4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Pr="00147F83" w:rsidRDefault="00F453B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чердаков, подвалов, помещений на наличие посторонних предметов, строительного и иного мусора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Default="00F45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147F83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Профилактические мероприятия из-за </w:t>
      </w:r>
      <w:proofErr w:type="spellStart"/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7"/>
        <w:gridCol w:w="1757"/>
        <w:gridCol w:w="2153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453B4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заведующий хозяйством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305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F13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305A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46BEE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Зведующий</w:t>
            </w:r>
            <w:proofErr w:type="spellEnd"/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7F0A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0A51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Обеспечить регулярное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проветривание рекреаций, помещений,</w:t>
            </w: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коридоров во время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 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внеплановый инструктаж сотрудников </w:t>
            </w: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ДОУ по профилактике </w:t>
            </w:r>
            <w:proofErr w:type="spellStart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Разместить для сотрудников и воспитанников памятки по мерам профилактики </w:t>
            </w:r>
            <w:proofErr w:type="spellStart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инфекции при входе в здание детского сада и на информационных стендах.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CB38A7" w:rsidRPr="00FD5C03" w:rsidRDefault="00CB38A7" w:rsidP="00D77F41">
      <w:pPr>
        <w:spacing w:line="600" w:lineRule="atLeast"/>
        <w:rPr>
          <w:lang w:val="ru-RU"/>
        </w:rPr>
      </w:pPr>
    </w:p>
    <w:sectPr w:rsidR="00CB38A7" w:rsidRPr="00FD5C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BDA"/>
    <w:rsid w:val="00147F83"/>
    <w:rsid w:val="00173414"/>
    <w:rsid w:val="00200546"/>
    <w:rsid w:val="00236288"/>
    <w:rsid w:val="00292F12"/>
    <w:rsid w:val="002B0B77"/>
    <w:rsid w:val="002D33B1"/>
    <w:rsid w:val="002D3591"/>
    <w:rsid w:val="00305AB4"/>
    <w:rsid w:val="00344D2F"/>
    <w:rsid w:val="003514A0"/>
    <w:rsid w:val="00380A3D"/>
    <w:rsid w:val="003C296D"/>
    <w:rsid w:val="00446786"/>
    <w:rsid w:val="004F7E17"/>
    <w:rsid w:val="0053730D"/>
    <w:rsid w:val="005455F8"/>
    <w:rsid w:val="00565D60"/>
    <w:rsid w:val="0059466F"/>
    <w:rsid w:val="00597258"/>
    <w:rsid w:val="005A05CE"/>
    <w:rsid w:val="00646A38"/>
    <w:rsid w:val="00653AF6"/>
    <w:rsid w:val="006F49AB"/>
    <w:rsid w:val="006F67E5"/>
    <w:rsid w:val="0078763D"/>
    <w:rsid w:val="007B3C42"/>
    <w:rsid w:val="007F0A51"/>
    <w:rsid w:val="008863D4"/>
    <w:rsid w:val="008F7F6A"/>
    <w:rsid w:val="009C0D85"/>
    <w:rsid w:val="009E164D"/>
    <w:rsid w:val="00AA4BEB"/>
    <w:rsid w:val="00B30F2F"/>
    <w:rsid w:val="00B73A5A"/>
    <w:rsid w:val="00BC3267"/>
    <w:rsid w:val="00C035EE"/>
    <w:rsid w:val="00C46BEE"/>
    <w:rsid w:val="00C64441"/>
    <w:rsid w:val="00CB38A7"/>
    <w:rsid w:val="00CE046F"/>
    <w:rsid w:val="00D77F41"/>
    <w:rsid w:val="00DD3F91"/>
    <w:rsid w:val="00E07660"/>
    <w:rsid w:val="00E22AE0"/>
    <w:rsid w:val="00E438A1"/>
    <w:rsid w:val="00EC651F"/>
    <w:rsid w:val="00F01E19"/>
    <w:rsid w:val="00F13994"/>
    <w:rsid w:val="00F453B4"/>
    <w:rsid w:val="00F81B3B"/>
    <w:rsid w:val="00F951DC"/>
    <w:rsid w:val="00FD5C03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9D04"/>
  <w15:docId w15:val="{B318CCB3-43C2-4D53-8F05-419457F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17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dcterms:created xsi:type="dcterms:W3CDTF">2011-11-02T04:15:00Z</dcterms:created>
  <dcterms:modified xsi:type="dcterms:W3CDTF">2023-11-21T07:25:00Z</dcterms:modified>
</cp:coreProperties>
</file>